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0AE" w:rsidRPr="00375408" w:rsidRDefault="00FC31CF" w:rsidP="00375408">
      <w:pPr>
        <w:pStyle w:val="TTULO"/>
      </w:pPr>
      <w:r>
        <w:t>PROJETO BÁSICO</w:t>
      </w:r>
    </w:p>
    <w:p w:rsidR="00CA5F77" w:rsidRDefault="00FC31CF" w:rsidP="00662FB2">
      <w:pPr>
        <w:pStyle w:val="Ttulo1"/>
      </w:pPr>
      <w:r>
        <w:t>Estudos técnicos preliminares</w:t>
      </w:r>
    </w:p>
    <w:p w:rsidR="00662FB2" w:rsidRDefault="00FC31CF" w:rsidP="00662FB2">
      <w:r>
        <w:t>Foi realizado levantamento topográfico da rua e não se faz necessária a sondagem da mesma por já ser uma via consolidada e será somente feito um recapeamento asfáltico na mesma.</w:t>
      </w:r>
    </w:p>
    <w:p w:rsidR="00FC31CF" w:rsidRDefault="00FC31CF" w:rsidP="00FC31CF">
      <w:pPr>
        <w:pStyle w:val="Ttulo1"/>
      </w:pPr>
      <w:r>
        <w:t>elementos necessários para elaboração do projeto executivo</w:t>
      </w:r>
    </w:p>
    <w:p w:rsidR="001174B1" w:rsidRDefault="00FC31CF" w:rsidP="001174B1">
      <w:r>
        <w:t>Se faz necessário o levantamento topográfico para que se possa ter ideia da metragem quadrada onde será realizado o recapeamento asfáltico e com isso poder calcul</w:t>
      </w:r>
      <w:r w:rsidR="001174B1">
        <w:t>ar o volume que será utilizado.</w:t>
      </w:r>
    </w:p>
    <w:p w:rsidR="00FC31CF" w:rsidRPr="00FC31CF" w:rsidRDefault="001174B1" w:rsidP="001174B1">
      <w:r>
        <w:t>Por meio d</w:t>
      </w:r>
      <w:r w:rsidR="00FC31CF">
        <w:t xml:space="preserve">o levantamento topográfico </w:t>
      </w:r>
      <w:r>
        <w:t>s</w:t>
      </w:r>
      <w:r w:rsidR="00FC31CF">
        <w:t>erá</w:t>
      </w:r>
      <w:r>
        <w:t xml:space="preserve"> possível possuir a</w:t>
      </w:r>
      <w:r w:rsidR="00FC31CF">
        <w:t xml:space="preserve"> localização exata das ruas que acessam a rua a ser executado o serviço e com isso realizar o projeto de sinalização viário.</w:t>
      </w:r>
    </w:p>
    <w:p w:rsidR="00781063" w:rsidRDefault="00781063" w:rsidP="00781063">
      <w:pPr>
        <w:pStyle w:val="Ttulo1"/>
      </w:pPr>
      <w:r>
        <w:t>descrição d</w:t>
      </w:r>
      <w:r w:rsidR="007F5CD5">
        <w:t>os materiais, serviços a serem executados</w:t>
      </w:r>
    </w:p>
    <w:p w:rsidR="00781063" w:rsidRDefault="00781063" w:rsidP="00781063">
      <w:r>
        <w:t xml:space="preserve">A </w:t>
      </w:r>
      <w:r w:rsidR="00FC31CF">
        <w:t>seguir segue a descrição dos materiais e como devem ser executados os serviços presentes na planilha orçamentária</w:t>
      </w:r>
      <w:r w:rsidR="008C1FA0">
        <w:t>.</w:t>
      </w:r>
    </w:p>
    <w:p w:rsidR="00E45CDC" w:rsidRDefault="00E45CDC" w:rsidP="00E45CDC">
      <w:pPr>
        <w:pStyle w:val="Ttulo2"/>
      </w:pPr>
      <w:r>
        <w:t>Serviços preliminares</w:t>
      </w:r>
    </w:p>
    <w:p w:rsidR="00F83821" w:rsidRDefault="00F83821" w:rsidP="00883B18">
      <w:r>
        <w:t>Placa de obra da empresa executora e do responsável técnico deverá ser fornecida pela empresa executora, seguindo o padrão do Município, adotando as dimensões de 3,00 m x 1,50 m. As placas de obra deverão ficar em local limpo (indicado pela fiscalização) à vista do logradouro e de forma definitiva até o final da execução da obra.</w:t>
      </w:r>
    </w:p>
    <w:p w:rsidR="00F83821" w:rsidRDefault="00F83821" w:rsidP="00883B18">
      <w:r>
        <w:t>Os serviços topográficos necessários para a locação da obra são de responsabilidade da construtora. A ocorrência de erro na locação da obra acarretará ao executante proceder com as modificações necessárias para se adequar ao projeto, arcando com os custos.</w:t>
      </w:r>
    </w:p>
    <w:p w:rsidR="00F83821" w:rsidRDefault="00F83821" w:rsidP="00883B18">
      <w:r>
        <w:t xml:space="preserve">As tampas referentes aos poços de visita e de manobras de registro, quando existentes, que estejam situadas onde será efetuado o pavimento deverão ser niveladas </w:t>
      </w:r>
      <w:r>
        <w:lastRenderedPageBreak/>
        <w:t xml:space="preserve">até o nível do pavimento finalizado, deve ser feito em concreto o seu prolongamento e utilizar a mesma tampa existente hoje, com a devida precaução para que não ocorra seu levantamento com o trânsito de veículos sob ela. </w:t>
      </w:r>
    </w:p>
    <w:p w:rsidR="00F83821" w:rsidRDefault="00F83821" w:rsidP="00F83821">
      <w:pPr>
        <w:pStyle w:val="Ttulo2"/>
        <w:numPr>
          <w:ilvl w:val="1"/>
          <w:numId w:val="18"/>
        </w:numPr>
        <w:ind w:left="578" w:hanging="578"/>
      </w:pPr>
      <w:r>
        <w:t>Limpeza e adequação do pavimento existente</w:t>
      </w:r>
    </w:p>
    <w:p w:rsidR="00F83821" w:rsidRDefault="00F83821" w:rsidP="00883B18">
      <w:r>
        <w:t>As operações de limpeza do calçamento serão executadas mediante a utilização de equipamentos adequados, complementados com o emprego de serviços manuais, caso necessário.</w:t>
      </w:r>
    </w:p>
    <w:p w:rsidR="00F83821" w:rsidRDefault="00F83821" w:rsidP="00883B18">
      <w:r>
        <w:t>No cálculo referente a limpeza pesada foi considerado a largura de 2,00 m para a limpeza junto a sarjeta das vias onde são os pontos mais críticos com acúmulo de sujeira.</w:t>
      </w:r>
    </w:p>
    <w:p w:rsidR="00F83821" w:rsidRDefault="00F83821" w:rsidP="00883B18">
      <w:r>
        <w:t>A pista deverá estar em perfeitas condições para receber a camada de lição asfáltica, livre de sujeiras, como terra, materiais sólidos e poças de água.</w:t>
      </w:r>
    </w:p>
    <w:p w:rsidR="00F83821" w:rsidRDefault="00F83821" w:rsidP="00883B18">
      <w:r>
        <w:t>Os serviços de limpeza, preparo da cancha e regularização do leito com massa asfáltica, serão executados pela construtora, acompanhados e liberados pala fiscalização.</w:t>
      </w:r>
    </w:p>
    <w:p w:rsidR="00F83821" w:rsidRDefault="00F83821" w:rsidP="00883B18">
      <w:r>
        <w:t>As podas de árvores necessárias à execução dos serviços são de responsabilidade da contratada.</w:t>
      </w:r>
    </w:p>
    <w:p w:rsidR="00F83821" w:rsidRDefault="00F83821" w:rsidP="00F83821">
      <w:pPr>
        <w:pStyle w:val="Ttulo2"/>
        <w:numPr>
          <w:ilvl w:val="1"/>
          <w:numId w:val="18"/>
        </w:numPr>
        <w:ind w:left="578" w:hanging="578"/>
      </w:pPr>
      <w:r>
        <w:t>Pintura de ligação: primeira camada</w:t>
      </w:r>
    </w:p>
    <w:p w:rsidR="00F83821" w:rsidRDefault="00F83821" w:rsidP="00883B18">
      <w:r>
        <w:t>Após a limpeza do pavimento existente será executado uma camada de Pintura de Ligação, do tipo RR-2C, com o objetivo de fornecer aderência entre as camadas.</w:t>
      </w:r>
    </w:p>
    <w:p w:rsidR="00F83821" w:rsidRDefault="00F83821" w:rsidP="00883B18">
      <w:r>
        <w:t>A taxa de aplicação deve ser entre 0,8 à 1,6 l/m² conforme tipo da base e do material betuminoso escolhido. Se a taxa ficar abaixo ou acima, deve-se tomar providencias para se corrigir o erro.</w:t>
      </w:r>
    </w:p>
    <w:p w:rsidR="00F83821" w:rsidRDefault="00F83821" w:rsidP="00883B18">
      <w:r>
        <w:t>A área deve estar livre de sujeiras e levemente umedecida. É vedada aplicação em superfície molhada.</w:t>
      </w:r>
    </w:p>
    <w:p w:rsidR="00F83821" w:rsidRDefault="00F83821" w:rsidP="00883B18">
      <w:r>
        <w:t>Não deve ser permitida o transito de pessoas ou veículos sobre a aplicação.</w:t>
      </w:r>
    </w:p>
    <w:p w:rsidR="00F83821" w:rsidRDefault="00F83821" w:rsidP="00F83821">
      <w:pPr>
        <w:pStyle w:val="Ttulo2"/>
        <w:numPr>
          <w:ilvl w:val="1"/>
          <w:numId w:val="18"/>
        </w:numPr>
        <w:ind w:left="578" w:hanging="578"/>
      </w:pPr>
      <w:r>
        <w:t>Camada de CBUQ (</w:t>
      </w:r>
      <w:r w:rsidR="004F77B2">
        <w:t>Binder</w:t>
      </w:r>
      <w:r>
        <w:t>)</w:t>
      </w:r>
    </w:p>
    <w:p w:rsidR="00F83821" w:rsidRDefault="00F83821" w:rsidP="00883B18">
      <w:r>
        <w:t>Após a limpeza a imprimação asfáltica com RR – 2C, será aplicada uma camada de 3 centímetros de CBUQ. Essa tem a função de regularizar a pavimentação existente.</w:t>
      </w:r>
    </w:p>
    <w:p w:rsidR="00F83821" w:rsidRDefault="00F83821" w:rsidP="00883B18">
      <w:r>
        <w:lastRenderedPageBreak/>
        <w:t xml:space="preserve">Essa camada deve atender e seguir todos os quesitos do item </w:t>
      </w:r>
      <w:r w:rsidR="00DC56B0">
        <w:t>3.5</w:t>
      </w:r>
      <w:r>
        <w:t xml:space="preserve"> deste documento.</w:t>
      </w:r>
    </w:p>
    <w:p w:rsidR="00F83821" w:rsidRDefault="00F83821" w:rsidP="00F83821">
      <w:pPr>
        <w:pStyle w:val="Ttulo2"/>
        <w:numPr>
          <w:ilvl w:val="1"/>
          <w:numId w:val="18"/>
        </w:numPr>
        <w:ind w:left="578" w:hanging="578"/>
      </w:pPr>
      <w:r>
        <w:t>Pintura de ligação</w:t>
      </w:r>
    </w:p>
    <w:p w:rsidR="00F83821" w:rsidRDefault="00F83821" w:rsidP="00883B18">
      <w:r>
        <w:t>Após, será aplicada a Pintura de Ligação do tipo RR-2C. Está consiste na aplicação de uma camada de material betuminoso sobre a superfície de uma base ou de um pavimento, antes da execução de um revestimento betuminoso, objetivando promover a aderência entre este revestimento e a camada subjacente.</w:t>
      </w:r>
    </w:p>
    <w:p w:rsidR="00F83821" w:rsidRDefault="00F83821" w:rsidP="00883B18">
      <w:r>
        <w:t>Deve-se proceder a varredura da superfície de modo a eliminar o pó e o material solto existente. O jato de ar comprimido deverá ser usado quando as condições da pista assim o exigirem, mesmo após a varredura mecânica ou manual.</w:t>
      </w:r>
    </w:p>
    <w:p w:rsidR="00F83821" w:rsidRDefault="00F83821" w:rsidP="00883B18">
      <w:r>
        <w:t>Todo o equipamento, ainda do início da execução da obra, deverá ser examinado pela Fiscalização e estar em perfeitas condições de funcionamento.</w:t>
      </w:r>
    </w:p>
    <w:p w:rsidR="00F83821" w:rsidRDefault="00F83821" w:rsidP="00883B18">
      <w:r>
        <w:t>O material betuminoso utilizado será uma emulsão asfáltica catiônica, do tipo RR- 2C, que deverá atender as especificações da ABNT, com taxa de aplicação de 0,8 litros/m².</w:t>
      </w:r>
    </w:p>
    <w:p w:rsidR="00F83821" w:rsidRDefault="00F83821" w:rsidP="00883B18">
      <w:r>
        <w:t>Aplica-se o material betuminoso adequado, na temperatura compatível com o seu tipo, na quantidade certa e na maneira mais uniforme. O material betuminoso não deve ser distribuído quando a temperatura ambiente estiver abaixo de 10°C, ou em dias de chuva, ou quando esta estiver iminente. A temperatura de aplicação do material betuminoso deve ser fixada para cada tipo, em função da relação temperatura-viscosidade. No que concerne à temperatura de aplicação da RR-2C, a mesma deverá ser de ordem a emprestar ao material betuminoso, uma viscosidade Saybolt-Furol compreendida entre 25 e 100 segundos. (A faixa de temperatura recomendável é de 20 a 50°C)</w:t>
      </w:r>
    </w:p>
    <w:p w:rsidR="00F83821" w:rsidRDefault="00F83821" w:rsidP="00883B18">
      <w:r>
        <w:t>Deve-se executar a pintura de ligação em toda a camada, em um mesmo turno de trabalho, e deixá-la fechada ao trânsito, sempre que possível. Quando isso não for possível, deve-se trabalhar em meia pista, fazendo a pintura de ligação da adjacente, logo que a pintura permita sua abertura ao trânsito.</w:t>
      </w:r>
    </w:p>
    <w:p w:rsidR="00F83821" w:rsidRDefault="00F83821" w:rsidP="00883B18">
      <w:r>
        <w:t xml:space="preserve">A fim de evitar a superposição ou excesso de material nos pontos inicial e final das aplicações, devem-se colocar faixas de papel transversalmente na pista, de modo que o material betuminoso comece e cesse de sair da barra de distribuição sobre essas </w:t>
      </w:r>
      <w:r>
        <w:lastRenderedPageBreak/>
        <w:t>faixas, as quais, a seguir, são retiradas. Qualquer falha na aplicação do material betuminoso deve ser logo corrigida.</w:t>
      </w:r>
    </w:p>
    <w:p w:rsidR="00F83821" w:rsidRDefault="00F83821" w:rsidP="00883B18">
      <w:r>
        <w:t>Antes da aplicação do material betuminoso, no caso de bases de solo-cimento ou concreto magro, a superfície da base deve ser irrigada, a fim de saturar os vazios existentes, não se admitindo excesso de água sobre a superfície.</w:t>
      </w:r>
    </w:p>
    <w:p w:rsidR="00F83821" w:rsidRDefault="00F83821" w:rsidP="00883B18">
      <w:r>
        <w:t>A distribuição do ligante deverá ser feita por carros equipados com bomba reguladora de pressão e sistema completo de aquecimento, que permitam a aplicação do material betuminoso em quantidade uniforme.</w:t>
      </w:r>
    </w:p>
    <w:p w:rsidR="00F83821" w:rsidRDefault="00F83821" w:rsidP="00883B18">
      <w:r>
        <w:t>Os carros distribuidores deverão dispor de termômetros, em locais de fácil observação, e, ainda, um espargidor manual para tratamento de pequenas superfícies e correções localizadas.</w:t>
      </w:r>
    </w:p>
    <w:p w:rsidR="00F83821" w:rsidRDefault="00F83821" w:rsidP="00883B18">
      <w:r>
        <w:t>O depósito de material betuminoso, quando necessário, deve ser equipado com dispositivo que permita o aquecimento adequado e uniforme do conteúdo do recipiente. O depósito deve ter capacidade tal que possa armazenar a quantidade de material betuminoso a ser aplicado em, pelo menos, um dia de trabalho.</w:t>
      </w:r>
    </w:p>
    <w:p w:rsidR="00F83821" w:rsidRDefault="00F83821" w:rsidP="00883B18">
      <w:r>
        <w:t>Deverá ser realizada a pesagem do carro distribuidor, antes e depois da aplicação do material betuminoso. Não sendo possível a realização do controle por esse método, admite-se que seja feito da seguinte maneira:</w:t>
      </w:r>
    </w:p>
    <w:p w:rsidR="00F83821" w:rsidRDefault="00F83821" w:rsidP="00883B18">
      <w:r>
        <w:t>Coloca-se na pista uma bandeja de peso e área conhecidos e por uma simples pesagem, após a passagem do cano distribuidor, tem-se a quantidade de material betuminoso utilizado.</w:t>
      </w:r>
    </w:p>
    <w:p w:rsidR="00F83821" w:rsidRDefault="00F83821" w:rsidP="00883B18">
      <w:r>
        <w:t>Utilizando uma régua de madeira, pintada e graduada, que possa dar diretamente pela diferença da altura do material betuminoso no tanque do carro distribuidor, antes e depois da operação, a quantidade do material de consumido.</w:t>
      </w:r>
    </w:p>
    <w:p w:rsidR="00F83821" w:rsidRDefault="00F83821" w:rsidP="00F83821">
      <w:pPr>
        <w:pStyle w:val="Ttulo2"/>
        <w:numPr>
          <w:ilvl w:val="1"/>
          <w:numId w:val="18"/>
        </w:numPr>
        <w:ind w:left="578" w:hanging="578"/>
      </w:pPr>
      <w:r>
        <w:t>Camada de CBUQ</w:t>
      </w:r>
    </w:p>
    <w:p w:rsidR="00F83821" w:rsidRDefault="00F83821" w:rsidP="00883B18">
      <w:r>
        <w:t>Concreto Betuminoso Usinado a Quente é o revestimento flexível, resultante da mistura a quente, em usina adequada, de agregado mineral graduado, material de enchimento e material betuminoso, espalhado e comprimido a quente sobre a base imprimada.</w:t>
      </w:r>
    </w:p>
    <w:p w:rsidR="00F83821" w:rsidRDefault="00F83821" w:rsidP="00883B18">
      <w:r>
        <w:lastRenderedPageBreak/>
        <w:t>A contratante deverá apresentar o projeto da massa asfáltica (CBUQ) e respectivo ensaio Marshall, em tempo hábil para ser aprovado pela Fiscalização.</w:t>
      </w:r>
    </w:p>
    <w:p w:rsidR="00F83821" w:rsidRDefault="00F83821" w:rsidP="00883B18">
      <w:r>
        <w:t xml:space="preserve">Sobre a pintura de ligação será espalhado o CBUQ de modo a apresentar, quando comprimida, a espessura do projeto determinada de 3 cm. </w:t>
      </w:r>
    </w:p>
    <w:p w:rsidR="00F83821" w:rsidRDefault="00F83821" w:rsidP="00883B18">
      <w:r>
        <w:t>Todos os materiais devem satisfazer às especificações próprias da ABNT e do DNIT.</w:t>
      </w:r>
    </w:p>
    <w:p w:rsidR="00F83821" w:rsidRDefault="00F83821" w:rsidP="00883B18">
      <w:r>
        <w:t>A Execução dos serviços de CBUQ consistirá no fornecimento da mistura, espalhamento com vibroacabadora, tipo arrastão e compactação de uma camada de acordo com o alinhamento, greide, espessura e seção transversal fornecidos pelo projeto geométrico, e dentro das tolerâncias definidas por esta Especificação. Os serviços de execução de CBUQ (Concreto Betuminoso Usinado a Quente) serão controlados pela fiscalização.</w:t>
      </w:r>
    </w:p>
    <w:p w:rsidR="00F83821" w:rsidRDefault="00F83821" w:rsidP="00883B18">
      <w:r>
        <w:t xml:space="preserve">A mistura asfáltica não será espalhada sobre a superfície molhada, ou quando o tempo se apresentar chuvoso ou com neblina, ou quando a temperatura for inferior a 10ºC na sombra, ou, ainda em condições atmosféricas desfavoráveis. O início dos trabalhos deverá ser autorizado pela Fiscalização. </w:t>
      </w:r>
    </w:p>
    <w:p w:rsidR="00F83821" w:rsidRDefault="00F83821" w:rsidP="00883B18">
      <w:r>
        <w:t>A empresa irá controlar a saída dos caminhões com CBUQ na usina, controlando o peso (balança da empresa), a temperatura da mistura e na chegada dos mesmos nos pontos de lançamento da mistura verificando o ticket da balança e a temperatura da mistura.</w:t>
      </w:r>
    </w:p>
    <w:p w:rsidR="00F83821" w:rsidRDefault="00F83821" w:rsidP="00883B18">
      <w:r>
        <w:t xml:space="preserve"> Na execução do concreto asfáltico, deverá haver uma perfeita sincronização entre as unidades transportadoras, a produção da usina e a capacidade de espalhamento da motoniveladora, de maneira que a execução seja contínua, sem interrupção em qualquer fase do trabalho.</w:t>
      </w:r>
    </w:p>
    <w:p w:rsidR="00F83821" w:rsidRDefault="00F83821" w:rsidP="00883B18">
      <w:r>
        <w:t>A usina instalada deverá produzir um volume de concreto asfáltico que permita o deslocamento contínuo da vibroacabadora.</w:t>
      </w:r>
    </w:p>
    <w:p w:rsidR="007225D8" w:rsidRDefault="00F83821" w:rsidP="00883B18">
      <w:r>
        <w:t>Os trabalhos complementares manuais e a compactação deverão ter condições de permitir o avanço das obras na velocidade em que a mistura é espalhada.</w:t>
      </w:r>
    </w:p>
    <w:p w:rsidR="00F83821" w:rsidRDefault="00F83821" w:rsidP="00883B18">
      <w:r>
        <w:lastRenderedPageBreak/>
        <w:t>Quando o revestimento for construído em meia pista, a junta longitudinal da primeira deverá ser pintada com asfalto dissolvido de cura rápida ou emulsão asfáltica, antes da colocação da camada que constitui a outra meia pista.</w:t>
      </w:r>
    </w:p>
    <w:p w:rsidR="00F83821" w:rsidRDefault="00F83821" w:rsidP="00883B18">
      <w:r>
        <w:t>A mistura espalhada não poderá apresentar regiões segregadas. Se isto ocorrer, o serviço deverá ser suspenso imediatamente e determinado se a causa é de operação, ou outra qualquer. Os serviços só serão recomeçados após sanada a causa da ocorrência.</w:t>
      </w:r>
    </w:p>
    <w:p w:rsidR="00F83821" w:rsidRDefault="00F83821" w:rsidP="00883B18">
      <w:r>
        <w:t>A massa espalhada deve ser imediatamente compactada, de maneira a obter uma camada que satisfaça os requisitos de acabamento e densidade.</w:t>
      </w:r>
    </w:p>
    <w:p w:rsidR="00F83821" w:rsidRDefault="00F83821" w:rsidP="00883B18">
      <w:r>
        <w:t>Os serviços de compactação poderão ser realizados em 3 etapas: a primeira consistirá na compactação inicial da massa com rolo liso, do tipo tandem ou três rodas, e será executado imediatamente atrás da vibroacabadora, com a roda motriz do rolo atuando como roda dianteira. O rolo se deslocará sempre do bordo mais baixo para a parte mais elevada da pista; a segunda etapa consistirá na compactação da camada com rolos de pneus de pressão variável logo após a primeira fase da compactação. A pressão dos pneus deve ser a máxima que a mistura possa suportar sem deslocamento ou trincas prejudiciais na massa. Esta pressão deve ser aumentada de maneira a ser atingido o grau de compactação. A parte final consistirá no acabamento da superfície compactada por meio de rolos lisos do tipo tandem.</w:t>
      </w:r>
    </w:p>
    <w:p w:rsidR="00F83821" w:rsidRDefault="00F83821" w:rsidP="00883B18">
      <w:r>
        <w:t>Sem prejuízo da superfície acabada, a primeira etapa pode ser suprimida iniciando-se a compactação imediatamente com rolo de pneus de pressão variável.</w:t>
      </w:r>
    </w:p>
    <w:p w:rsidR="00F83821" w:rsidRDefault="00F83821" w:rsidP="00883B18">
      <w:r>
        <w:t xml:space="preserve">Após a compactação, a camada de concreto asfáltico deverá estar de acordo com os requisitos de alinhamento, greide e acabamento. </w:t>
      </w:r>
    </w:p>
    <w:p w:rsidR="00F83821" w:rsidRDefault="00F83821" w:rsidP="00883B18">
      <w:r>
        <w:t>O grau de compactação da camada concluída deverá ser superior a 95%, tomando-se corpos de prova moldados com 75 golpes em cada fase, pelo “Método Marshall”. A densidade desses corpos de prova não deve diferir mais de 1,5% em relação à dos corpos de prova do projeto.</w:t>
      </w:r>
    </w:p>
    <w:p w:rsidR="00F83821" w:rsidRDefault="00F83821" w:rsidP="00883B18">
      <w:r>
        <w:t>Na execução da camada de concreto asfáltico deverão ser realizados controles tecnológicos da mistura e da execução dos serviços, resultando, portanto, controles de usina e de pista. A determinação da temperatura da mistura do concreto asfáltico se processará no caminhão por ocasião da pesagem na balança localizada junto à usina, e também junto a pista. De cada carga será realizada pelo menos uma determinação.</w:t>
      </w:r>
    </w:p>
    <w:p w:rsidR="00F83821" w:rsidRDefault="00F83821" w:rsidP="00883B18">
      <w:r>
        <w:t xml:space="preserve">Será proibido o tráfego sobre o concreto asfáltico imediatamente após sua conclusão até que a mistura tenha endurecido convenientemente por esfriamento. A via não poderá ser aberta ao tráfego </w:t>
      </w:r>
      <w:r>
        <w:rPr>
          <w:b/>
          <w:u w:val="single"/>
        </w:rPr>
        <w:t>antes de 6 horas</w:t>
      </w:r>
      <w:r>
        <w:t xml:space="preserve"> após a conclusão de concreto asfáltico. </w:t>
      </w:r>
    </w:p>
    <w:p w:rsidR="00F83821" w:rsidRDefault="00F83821" w:rsidP="00883B18">
      <w:r>
        <w:t>Em condições excepcionais a Fiscalização poderá determinar uma redução deste prazo, quando houver necessidade de deslocamento do equipamento e veículos destinados à execução da obra.</w:t>
      </w:r>
    </w:p>
    <w:p w:rsidR="00054C00" w:rsidRDefault="00FC31CF" w:rsidP="00054C00">
      <w:pPr>
        <w:pStyle w:val="Ttulo1"/>
      </w:pPr>
      <w:r>
        <w:t>Descrição dos possíveis riscos</w:t>
      </w:r>
    </w:p>
    <w:p w:rsidR="005155E4" w:rsidRDefault="00FC31CF" w:rsidP="00054C00">
      <w:r>
        <w:t>Devido a obras na entrada da cidade poderá ocorrer da massa asfáltica chegar em temperaturas abaixo das normatizadas para sua utilização, sendo assim deve ser levado em conta isso no momento da empresa enviar as cargas.</w:t>
      </w:r>
    </w:p>
    <w:p w:rsidR="00FC31CF" w:rsidRDefault="00FC31CF" w:rsidP="00054C00">
      <w:r>
        <w:t>Além disso, haverá necessidade de bloqueios da via a ser executada o que poderá causar transtornos de trafegabilidade aos munícipes.</w:t>
      </w:r>
    </w:p>
    <w:p w:rsidR="007F5CD5" w:rsidRDefault="007F5CD5" w:rsidP="007F5CD5">
      <w:pPr>
        <w:pStyle w:val="Ttulo1"/>
      </w:pPr>
      <w:r>
        <w:t>descrição das instalações provisórias</w:t>
      </w:r>
    </w:p>
    <w:p w:rsidR="007F5CD5" w:rsidRPr="007F5CD5" w:rsidRDefault="007F5CD5" w:rsidP="007F5CD5">
      <w:r>
        <w:t xml:space="preserve">Será necessário a </w:t>
      </w:r>
      <w:r w:rsidR="00514CB4">
        <w:t>sinalização da interdição da rua a ser executada, além disso, seria interessante ser informado nos meios de comunicação do município que a rua sofrerá interdições para ser efetuado recapeamento asfáltico.</w:t>
      </w:r>
    </w:p>
    <w:p w:rsidR="00384FD8" w:rsidRDefault="00FC31CF" w:rsidP="00384FD8">
      <w:pPr>
        <w:pStyle w:val="Ttulo1"/>
      </w:pPr>
      <w:r>
        <w:t>subsídios para licitação da obra</w:t>
      </w:r>
    </w:p>
    <w:p w:rsidR="00FC31CF" w:rsidRDefault="00FC31CF" w:rsidP="00FC31CF">
      <w:r>
        <w:t>Para prestação dos serviços pretendidos os eventuais interessados deverão comprovar que atuam em ramo de atividade compatível com o objeto da licitação, bem como apresentar os seguintes documentos a título de habilitação, nos termos do art. 62 e 66, da Lei n° 14.133/2021:</w:t>
      </w:r>
    </w:p>
    <w:p w:rsidR="00FC31CF" w:rsidRDefault="00FC31CF" w:rsidP="00FC31CF">
      <w:pPr>
        <w:pStyle w:val="PargrafodaLista"/>
      </w:pPr>
      <w:r>
        <w:t>Certificado de Registro de Fornecedores (CRC), emitido pela Prefeitura Municipal de Estância Velha, válido;</w:t>
      </w:r>
    </w:p>
    <w:p w:rsidR="00FC31CF" w:rsidRDefault="00FC31CF" w:rsidP="00FC31CF">
      <w:pPr>
        <w:pStyle w:val="PargrafodaLista"/>
      </w:pPr>
      <w:r>
        <w:t>Certidão de registro da empresa no Conselho Regional de Engenharia e Agronomia (CREA);</w:t>
      </w:r>
    </w:p>
    <w:p w:rsidR="00FC31CF" w:rsidRDefault="00FC31CF" w:rsidP="00FC31CF">
      <w:pPr>
        <w:pStyle w:val="PargrafodaLista"/>
      </w:pPr>
      <w:r>
        <w:t>Comprovação de a empresa possuir em seu quadro permanente profissional (</w:t>
      </w:r>
      <w:proofErr w:type="spellStart"/>
      <w:r>
        <w:t>is</w:t>
      </w:r>
      <w:proofErr w:type="spellEnd"/>
      <w:r>
        <w:t>) de nível superior, reconhecido (s) como tal pelo CREA, com capacidade técnica para se responsabilizar pela execução do objeto licitado;</w:t>
      </w:r>
    </w:p>
    <w:p w:rsidR="00FC31CF" w:rsidRDefault="00FC31CF" w:rsidP="00FC31CF">
      <w:pPr>
        <w:pStyle w:val="PargrafodaLista"/>
      </w:pPr>
      <w:r>
        <w:t>Comprovação de aptidão por meio de um atestado de capacidade técnica operacional da empresa licitante, fornecidos por pessoa jurídica de direito público ou privado, devidamente certificados pelo CREA, comprovando haver executado com bom desempenho, obras ou serviços similares de complexidade tecnológica e operacional equivalente ou superior ao objeto;</w:t>
      </w:r>
    </w:p>
    <w:p w:rsidR="00FC31CF" w:rsidRDefault="00FC31CF" w:rsidP="00FC31CF">
      <w:pPr>
        <w:pStyle w:val="PargrafodaLista"/>
      </w:pPr>
      <w:r>
        <w:t>Atestado de capacidade técnica profissional, do profissional técnico responsável indicado, fornecido por pessoa jurídica de direito público ou privado, que comprove aptidão do profissional para o desempenho de atividade pertinente e compatível com o objeto. O referido atestado deverá comprovar a execução de serviços de características iguais ou semelhantes ao objeto licitado (pavimentação com CBUQ);</w:t>
      </w:r>
    </w:p>
    <w:p w:rsidR="00FC31CF" w:rsidRDefault="00FC31CF" w:rsidP="00FC31CF">
      <w:pPr>
        <w:pStyle w:val="PargrafodaLista"/>
      </w:pPr>
      <w:r>
        <w:t>Declaração formal das disponibilidades dos equipamentos mínimos para a execução dos serviços, objeto desta licitação, a saber:</w:t>
      </w:r>
    </w:p>
    <w:p w:rsidR="00FC31CF" w:rsidRDefault="00FC31CF" w:rsidP="00FC31CF">
      <w:pPr>
        <w:pStyle w:val="PargrafodaLista"/>
        <w:numPr>
          <w:ilvl w:val="0"/>
          <w:numId w:val="5"/>
        </w:numPr>
      </w:pPr>
      <w:r>
        <w:t>Uma usina de CBUQ;</w:t>
      </w:r>
    </w:p>
    <w:p w:rsidR="00FC31CF" w:rsidRDefault="00FC31CF" w:rsidP="00FC31CF">
      <w:pPr>
        <w:pStyle w:val="PargrafodaLista"/>
        <w:numPr>
          <w:ilvl w:val="0"/>
          <w:numId w:val="5"/>
        </w:numPr>
      </w:pPr>
      <w:r>
        <w:t>Uma usina de britagem;</w:t>
      </w:r>
    </w:p>
    <w:p w:rsidR="00FC31CF" w:rsidRDefault="00FC31CF" w:rsidP="00FC31CF">
      <w:pPr>
        <w:pStyle w:val="PargrafodaLista"/>
        <w:numPr>
          <w:ilvl w:val="0"/>
          <w:numId w:val="5"/>
        </w:numPr>
      </w:pPr>
      <w:r>
        <w:t>Depósito para material betuminoso;</w:t>
      </w:r>
    </w:p>
    <w:p w:rsidR="00FC31CF" w:rsidRDefault="00FC31CF" w:rsidP="00FC31CF">
      <w:pPr>
        <w:pStyle w:val="PargrafodaLista"/>
        <w:numPr>
          <w:ilvl w:val="0"/>
          <w:numId w:val="5"/>
        </w:numPr>
      </w:pPr>
      <w:r>
        <w:t>Depósito para agregados;</w:t>
      </w:r>
    </w:p>
    <w:p w:rsidR="00FC31CF" w:rsidRDefault="00FC31CF" w:rsidP="00FC31CF">
      <w:pPr>
        <w:pStyle w:val="PargrafodaLista"/>
        <w:numPr>
          <w:ilvl w:val="0"/>
          <w:numId w:val="5"/>
        </w:numPr>
      </w:pPr>
      <w:r>
        <w:t>Veículos de apoio, de grande porte, de produção e demais equipamentos inerentes e necessários ao cumprimento do objeto da licitação.</w:t>
      </w:r>
    </w:p>
    <w:p w:rsidR="00FC31CF" w:rsidRDefault="00FC31CF" w:rsidP="00FC31CF">
      <w:pPr>
        <w:pStyle w:val="PargrafodaLista"/>
      </w:pPr>
      <w:r>
        <w:t>Declaração formal da empresa de disponibilidade de usina de asfalto e de britagem própria ou de terceiros, para atendimento dos serviços objeto deste estudo, acompanhada de cópia da Licença de Operação (LO) da FEPAM, ou órgão competente, em vigor, caso a usina de asfalto e de britagem forem de terceiros, deverá ser anexadas uma declaração específica do proprietário dessas, de que as colocará à disposição da empresa licitante, para atendimento aos serviços objeto desta licitação;</w:t>
      </w:r>
    </w:p>
    <w:p w:rsidR="00FC31CF" w:rsidRDefault="00FC31CF" w:rsidP="00FC31CF">
      <w:pPr>
        <w:pStyle w:val="PargrafodaLista"/>
      </w:pPr>
      <w:r>
        <w:t>Declaração formal de operacionalização e localização da usina de CBUQ e da usina de britagem;</w:t>
      </w:r>
    </w:p>
    <w:p w:rsidR="00FC31CF" w:rsidRDefault="00FC31CF" w:rsidP="00FC31CF">
      <w:pPr>
        <w:pStyle w:val="PargrafodaLista"/>
      </w:pPr>
      <w:r>
        <w:t>Declaração formal de que a usina de asfalto está a uma distância apropriada em relação ao local da obra, que permita que a massa asfáltica seja transportada com a manutenção dos limites de temperatura estabelecidos pelas normas técnicas vigentes;</w:t>
      </w:r>
    </w:p>
    <w:p w:rsidR="00FC31CF" w:rsidRDefault="00FC31CF" w:rsidP="00FC31CF">
      <w:pPr>
        <w:pStyle w:val="PargrafodaLista"/>
      </w:pPr>
      <w:r>
        <w:t>Registro de licenciamento da jazida de origem junto ao Departamento Nacional de Produção Mineral – DNPM, na conformidade com o disposto na Lei Federal n° 6567/78 e na Portaria n° 155/2016 do DNPM.</w:t>
      </w:r>
    </w:p>
    <w:p w:rsidR="00975AA1" w:rsidRDefault="00FC31CF" w:rsidP="007F5CD5">
      <w:r>
        <w:t>O responsável técnico da contratada deverá recolher ART/RRT e comprovar seu pagamento junto a fiscalização. Caso a comprovação não seja feita, não será efetuada nenhuma liberação financeira.</w:t>
      </w:r>
    </w:p>
    <w:p w:rsidR="007F5CD5" w:rsidRDefault="007F5CD5" w:rsidP="007F5CD5">
      <w:r>
        <w:t>A obra será por empreitada global e sua fiscalização será por meio de medições mensais dos serviços realizados, juntamente com o acompanhamento do fiscal.</w:t>
      </w:r>
    </w:p>
    <w:p w:rsidR="00CB6678" w:rsidRDefault="00CB6678" w:rsidP="00A75D71">
      <w:pPr>
        <w:jc w:val="right"/>
      </w:pPr>
    </w:p>
    <w:p w:rsidR="00A75D71" w:rsidRDefault="007F5CD5" w:rsidP="00A75D71">
      <w:pPr>
        <w:jc w:val="right"/>
      </w:pPr>
      <w:r>
        <w:t xml:space="preserve">Estância Velha, </w:t>
      </w:r>
      <w:r w:rsidR="006E3AF1" w:rsidRPr="006E3AF1">
        <w:rPr>
          <w:highlight w:val="yellow"/>
        </w:rPr>
        <w:t>XX</w:t>
      </w:r>
      <w:r w:rsidR="00E45CDC">
        <w:t xml:space="preserve"> </w:t>
      </w:r>
      <w:r w:rsidR="00A75D71">
        <w:t xml:space="preserve">de </w:t>
      </w:r>
      <w:r w:rsidR="006E3AF1" w:rsidRPr="006E3AF1">
        <w:rPr>
          <w:highlight w:val="yellow"/>
        </w:rPr>
        <w:t>XXXX</w:t>
      </w:r>
      <w:r w:rsidR="00A75D71">
        <w:t xml:space="preserve"> de 2024</w:t>
      </w:r>
      <w:r w:rsidR="00122E8C">
        <w:t>.</w:t>
      </w:r>
    </w:p>
    <w:p w:rsidR="0006271C" w:rsidRDefault="0006271C" w:rsidP="00A75D71">
      <w:pPr>
        <w:jc w:val="right"/>
      </w:pPr>
    </w:p>
    <w:p w:rsidR="00CB6678" w:rsidRDefault="00CB6678" w:rsidP="00A75D71">
      <w:pPr>
        <w:jc w:val="right"/>
      </w:pPr>
      <w:bookmarkStart w:id="0" w:name="_GoBack"/>
      <w:bookmarkEnd w:id="0"/>
    </w:p>
    <w:p w:rsidR="00CB6678" w:rsidRDefault="00CB6678" w:rsidP="00A75D71">
      <w:pPr>
        <w:jc w:val="right"/>
      </w:pPr>
    </w:p>
    <w:p w:rsidR="0006271C" w:rsidRDefault="0006271C" w:rsidP="00A75D71">
      <w:pPr>
        <w:jc w:val="righ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5F2135" w:rsidTr="005F2135">
        <w:tc>
          <w:tcPr>
            <w:tcW w:w="2831" w:type="dxa"/>
          </w:tcPr>
          <w:p w:rsidR="005F2135" w:rsidRDefault="005F2135" w:rsidP="00A75D71">
            <w:pPr>
              <w:ind w:firstLine="0"/>
              <w:jc w:val="right"/>
            </w:pPr>
          </w:p>
        </w:tc>
        <w:tc>
          <w:tcPr>
            <w:tcW w:w="2831" w:type="dxa"/>
            <w:tcBorders>
              <w:top w:val="single" w:sz="4" w:space="0" w:color="auto"/>
            </w:tcBorders>
            <w:vAlign w:val="center"/>
          </w:tcPr>
          <w:p w:rsidR="005F2135" w:rsidRDefault="005F2135" w:rsidP="005F2135">
            <w:pPr>
              <w:pStyle w:val="assinatura"/>
            </w:pPr>
            <w:r>
              <w:t>Pablo Weber Valcorte</w:t>
            </w:r>
          </w:p>
          <w:p w:rsidR="005F2135" w:rsidRDefault="005F2135" w:rsidP="005F2135">
            <w:pPr>
              <w:pStyle w:val="assinatura"/>
            </w:pPr>
            <w:r>
              <w:t>Engenheiro Civil</w:t>
            </w:r>
          </w:p>
          <w:p w:rsidR="005F2135" w:rsidRDefault="005F2135" w:rsidP="005F2135">
            <w:pPr>
              <w:pStyle w:val="assinatura"/>
            </w:pPr>
            <w:r>
              <w:t>CREA RS 212154</w:t>
            </w:r>
          </w:p>
        </w:tc>
        <w:tc>
          <w:tcPr>
            <w:tcW w:w="2832" w:type="dxa"/>
          </w:tcPr>
          <w:p w:rsidR="005F2135" w:rsidRDefault="005F2135" w:rsidP="00A75D71">
            <w:pPr>
              <w:ind w:firstLine="0"/>
              <w:jc w:val="right"/>
            </w:pPr>
          </w:p>
        </w:tc>
      </w:tr>
    </w:tbl>
    <w:p w:rsidR="005F2135" w:rsidRDefault="005F2135" w:rsidP="00A75D71">
      <w:pPr>
        <w:jc w:val="right"/>
      </w:pPr>
    </w:p>
    <w:sectPr w:rsidR="005F2135" w:rsidSect="0006271C">
      <w:headerReference w:type="default" r:id="rId8"/>
      <w:pgSz w:w="11906" w:h="16838"/>
      <w:pgMar w:top="1417" w:right="1701" w:bottom="851" w:left="1701" w:header="283" w:footer="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AE" w:rsidRDefault="003F5F71">
      <w:pPr>
        <w:spacing w:line="240" w:lineRule="auto"/>
      </w:pPr>
      <w:r>
        <w:separator/>
      </w:r>
    </w:p>
  </w:endnote>
  <w:endnote w:type="continuationSeparator" w:id="0">
    <w:p w:rsidR="007030AE" w:rsidRDefault="003F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AE" w:rsidRDefault="003F5F71">
      <w:pPr>
        <w:spacing w:after="0"/>
      </w:pPr>
      <w:r>
        <w:separator/>
      </w:r>
    </w:p>
  </w:footnote>
  <w:footnote w:type="continuationSeparator" w:id="0">
    <w:p w:rsidR="007030AE" w:rsidRDefault="003F5F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AE" w:rsidRDefault="003F5F71" w:rsidP="00662FB2">
    <w:pPr>
      <w:pStyle w:val="Cabealho"/>
    </w:pPr>
    <w:r>
      <w:rPr>
        <w:noProof/>
        <w:lang w:eastAsia="pt-BR"/>
      </w:rPr>
      <w:drawing>
        <wp:inline distT="0" distB="0" distL="0" distR="0">
          <wp:extent cx="962025" cy="11144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105" cy="1114518"/>
                  </a:xfrm>
                  <a:prstGeom prst="rect">
                    <a:avLst/>
                  </a:prstGeom>
                </pic:spPr>
              </pic:pic>
            </a:graphicData>
          </a:graphic>
        </wp:inline>
      </w:drawing>
    </w:r>
  </w:p>
  <w:p w:rsidR="007030AE" w:rsidRPr="006150A1" w:rsidRDefault="003F5F71" w:rsidP="00820A50">
    <w:pPr>
      <w:pStyle w:val="Cabealho"/>
      <w:spacing w:before="0"/>
      <w:rPr>
        <w:b w:val="0"/>
      </w:rPr>
    </w:pPr>
    <w:r w:rsidRPr="006150A1">
      <w:rPr>
        <w:b w:val="0"/>
      </w:rPr>
      <w:t>PREFEITURA MUNICIPAL DE ESTÂNCIA VELHA</w:t>
    </w:r>
  </w:p>
  <w:p w:rsidR="007030AE" w:rsidRPr="006150A1" w:rsidRDefault="003F5F71" w:rsidP="00820A50">
    <w:pPr>
      <w:pStyle w:val="Cabealho"/>
      <w:spacing w:before="0"/>
      <w:rPr>
        <w:b w:val="0"/>
      </w:rPr>
    </w:pPr>
    <w:r w:rsidRPr="006150A1">
      <w:rPr>
        <w:b w:val="0"/>
      </w:rPr>
      <w:t>ESTADO DO RIO GRANDE DO SUL</w:t>
    </w:r>
  </w:p>
  <w:p w:rsidR="007030AE" w:rsidRPr="006150A1" w:rsidRDefault="003F5F71" w:rsidP="00820A50">
    <w:pPr>
      <w:pStyle w:val="Cabealho"/>
      <w:spacing w:before="0"/>
      <w:rPr>
        <w:b w:val="0"/>
      </w:rPr>
    </w:pPr>
    <w:r w:rsidRPr="006150A1">
      <w:rPr>
        <w:b w:val="0"/>
      </w:rPr>
      <w:t>CNPJ Nº 88.254.883/0001-07</w:t>
    </w:r>
  </w:p>
  <w:p w:rsidR="00662FB2" w:rsidRPr="00662FB2" w:rsidRDefault="00662FB2" w:rsidP="00662F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BC4"/>
    <w:multiLevelType w:val="hybridMultilevel"/>
    <w:tmpl w:val="D3FE70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22595C69"/>
    <w:multiLevelType w:val="hybridMultilevel"/>
    <w:tmpl w:val="A9E64748"/>
    <w:lvl w:ilvl="0" w:tplc="F81CED8A">
      <w:start w:val="1"/>
      <w:numFmt w:val="lowerLetter"/>
      <w:lvlText w:val="%1)"/>
      <w:lvlJc w:val="left"/>
      <w:pPr>
        <w:ind w:left="142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A40F63"/>
    <w:multiLevelType w:val="hybridMultilevel"/>
    <w:tmpl w:val="08F62E7E"/>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36385254"/>
    <w:multiLevelType w:val="hybridMultilevel"/>
    <w:tmpl w:val="3FAAC7B8"/>
    <w:lvl w:ilvl="0" w:tplc="672ECB52">
      <w:start w:val="1"/>
      <w:numFmt w:val="upperRoman"/>
      <w:pStyle w:val="PargrafodaLista"/>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366B5391"/>
    <w:multiLevelType w:val="hybridMultilevel"/>
    <w:tmpl w:val="038A3028"/>
    <w:lvl w:ilvl="0" w:tplc="FF6A1F9A">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EEE6CED"/>
    <w:multiLevelType w:val="hybridMultilevel"/>
    <w:tmpl w:val="3A1E1C0A"/>
    <w:lvl w:ilvl="0" w:tplc="04160005">
      <w:start w:val="1"/>
      <w:numFmt w:val="bullet"/>
      <w:lvlText w:val=""/>
      <w:lvlJc w:val="left"/>
      <w:pPr>
        <w:ind w:left="1792" w:hanging="360"/>
      </w:pPr>
      <w:rPr>
        <w:rFonts w:ascii="Wingdings" w:hAnsi="Wingdings"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abstractNum w:abstractNumId="6">
    <w:nsid w:val="42282CCD"/>
    <w:multiLevelType w:val="hybridMultilevel"/>
    <w:tmpl w:val="F9200B3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A0701A"/>
    <w:multiLevelType w:val="hybridMultilevel"/>
    <w:tmpl w:val="ACD054BE"/>
    <w:lvl w:ilvl="0" w:tplc="96F60442">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5F7A197F"/>
    <w:multiLevelType w:val="hybridMultilevel"/>
    <w:tmpl w:val="A12CA640"/>
    <w:lvl w:ilvl="0" w:tplc="04160017">
      <w:start w:val="1"/>
      <w:numFmt w:val="lowerLetter"/>
      <w:lvlText w:val="%1)"/>
      <w:lvlJc w:val="left"/>
      <w:pPr>
        <w:ind w:left="3221" w:hanging="360"/>
      </w:pPr>
    </w:lvl>
    <w:lvl w:ilvl="1" w:tplc="04160019" w:tentative="1">
      <w:start w:val="1"/>
      <w:numFmt w:val="lowerLetter"/>
      <w:lvlText w:val="%2."/>
      <w:lvlJc w:val="left"/>
      <w:pPr>
        <w:ind w:left="3232" w:hanging="360"/>
      </w:pPr>
    </w:lvl>
    <w:lvl w:ilvl="2" w:tplc="0416001B" w:tentative="1">
      <w:start w:val="1"/>
      <w:numFmt w:val="lowerRoman"/>
      <w:lvlText w:val="%3."/>
      <w:lvlJc w:val="right"/>
      <w:pPr>
        <w:ind w:left="3952" w:hanging="180"/>
      </w:pPr>
    </w:lvl>
    <w:lvl w:ilvl="3" w:tplc="0416000F" w:tentative="1">
      <w:start w:val="1"/>
      <w:numFmt w:val="decimal"/>
      <w:lvlText w:val="%4."/>
      <w:lvlJc w:val="left"/>
      <w:pPr>
        <w:ind w:left="4672" w:hanging="360"/>
      </w:pPr>
    </w:lvl>
    <w:lvl w:ilvl="4" w:tplc="04160019" w:tentative="1">
      <w:start w:val="1"/>
      <w:numFmt w:val="lowerLetter"/>
      <w:lvlText w:val="%5."/>
      <w:lvlJc w:val="left"/>
      <w:pPr>
        <w:ind w:left="5392" w:hanging="360"/>
      </w:pPr>
    </w:lvl>
    <w:lvl w:ilvl="5" w:tplc="0416001B" w:tentative="1">
      <w:start w:val="1"/>
      <w:numFmt w:val="lowerRoman"/>
      <w:lvlText w:val="%6."/>
      <w:lvlJc w:val="right"/>
      <w:pPr>
        <w:ind w:left="6112" w:hanging="180"/>
      </w:pPr>
    </w:lvl>
    <w:lvl w:ilvl="6" w:tplc="0416000F" w:tentative="1">
      <w:start w:val="1"/>
      <w:numFmt w:val="decimal"/>
      <w:lvlText w:val="%7."/>
      <w:lvlJc w:val="left"/>
      <w:pPr>
        <w:ind w:left="6832" w:hanging="360"/>
      </w:pPr>
    </w:lvl>
    <w:lvl w:ilvl="7" w:tplc="04160019" w:tentative="1">
      <w:start w:val="1"/>
      <w:numFmt w:val="lowerLetter"/>
      <w:lvlText w:val="%8."/>
      <w:lvlJc w:val="left"/>
      <w:pPr>
        <w:ind w:left="7552" w:hanging="360"/>
      </w:pPr>
    </w:lvl>
    <w:lvl w:ilvl="8" w:tplc="0416001B" w:tentative="1">
      <w:start w:val="1"/>
      <w:numFmt w:val="lowerRoman"/>
      <w:lvlText w:val="%9."/>
      <w:lvlJc w:val="right"/>
      <w:pPr>
        <w:ind w:left="8272" w:hanging="180"/>
      </w:pPr>
    </w:lvl>
  </w:abstractNum>
  <w:abstractNum w:abstractNumId="9">
    <w:nsid w:val="63963A51"/>
    <w:multiLevelType w:val="hybridMultilevel"/>
    <w:tmpl w:val="E4A05AB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78970AF3"/>
    <w:multiLevelType w:val="hybridMultilevel"/>
    <w:tmpl w:val="CB1C7772"/>
    <w:lvl w:ilvl="0" w:tplc="F26257AA">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7C104541"/>
    <w:multiLevelType w:val="multilevel"/>
    <w:tmpl w:val="7C104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C84DC1"/>
    <w:multiLevelType w:val="hybridMultilevel"/>
    <w:tmpl w:val="789EC82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7D504B39"/>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1"/>
  </w:num>
  <w:num w:numId="2">
    <w:abstractNumId w:val="0"/>
  </w:num>
  <w:num w:numId="3">
    <w:abstractNumId w:val="13"/>
  </w:num>
  <w:num w:numId="4">
    <w:abstractNumId w:val="10"/>
  </w:num>
  <w:num w:numId="5">
    <w:abstractNumId w:val="5"/>
  </w:num>
  <w:num w:numId="6">
    <w:abstractNumId w:val="8"/>
  </w:num>
  <w:num w:numId="7">
    <w:abstractNumId w:val="1"/>
  </w:num>
  <w:num w:numId="8">
    <w:abstractNumId w:val="9"/>
  </w:num>
  <w:num w:numId="9">
    <w:abstractNumId w:val="6"/>
  </w:num>
  <w:num w:numId="10">
    <w:abstractNumId w:val="4"/>
  </w:num>
  <w:num w:numId="11">
    <w:abstractNumId w:val="7"/>
  </w:num>
  <w:num w:numId="12">
    <w:abstractNumId w:val="7"/>
    <w:lvlOverride w:ilvl="0">
      <w:startOverride w:val="1"/>
    </w:lvlOverride>
  </w:num>
  <w:num w:numId="13">
    <w:abstractNumId w:val="7"/>
    <w:lvlOverride w:ilvl="0">
      <w:startOverride w:val="1"/>
    </w:lvlOverride>
  </w:num>
  <w:num w:numId="14">
    <w:abstractNumId w:val="12"/>
  </w:num>
  <w:num w:numId="15">
    <w:abstractNumId w:val="2"/>
  </w:num>
  <w:num w:numId="16">
    <w:abstractNumId w:val="3"/>
  </w:num>
  <w:num w:numId="17">
    <w:abstractNumId w:val="3"/>
    <w:lvlOverride w:ilvl="0">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94"/>
    <w:rsid w:val="00014E64"/>
    <w:rsid w:val="00042F0F"/>
    <w:rsid w:val="00054C00"/>
    <w:rsid w:val="0006271C"/>
    <w:rsid w:val="0006288D"/>
    <w:rsid w:val="0009170D"/>
    <w:rsid w:val="00093101"/>
    <w:rsid w:val="0009787A"/>
    <w:rsid w:val="000B7DC6"/>
    <w:rsid w:val="000C6EE7"/>
    <w:rsid w:val="000D171B"/>
    <w:rsid w:val="000E68D1"/>
    <w:rsid w:val="00104CE8"/>
    <w:rsid w:val="00105C60"/>
    <w:rsid w:val="00113CCB"/>
    <w:rsid w:val="001174B1"/>
    <w:rsid w:val="00122E8C"/>
    <w:rsid w:val="001239C8"/>
    <w:rsid w:val="001254BF"/>
    <w:rsid w:val="00140A11"/>
    <w:rsid w:val="00143A73"/>
    <w:rsid w:val="00157695"/>
    <w:rsid w:val="001752B2"/>
    <w:rsid w:val="00195219"/>
    <w:rsid w:val="001D41F1"/>
    <w:rsid w:val="00203663"/>
    <w:rsid w:val="00210D2B"/>
    <w:rsid w:val="0022396D"/>
    <w:rsid w:val="0024531C"/>
    <w:rsid w:val="00246295"/>
    <w:rsid w:val="00271537"/>
    <w:rsid w:val="002753FF"/>
    <w:rsid w:val="002764E5"/>
    <w:rsid w:val="002863CD"/>
    <w:rsid w:val="00287946"/>
    <w:rsid w:val="002A5BCE"/>
    <w:rsid w:val="002B0463"/>
    <w:rsid w:val="002B3523"/>
    <w:rsid w:val="002C5F16"/>
    <w:rsid w:val="002D0544"/>
    <w:rsid w:val="00304FC5"/>
    <w:rsid w:val="00334B12"/>
    <w:rsid w:val="00335DFF"/>
    <w:rsid w:val="00350830"/>
    <w:rsid w:val="00367BC8"/>
    <w:rsid w:val="00371125"/>
    <w:rsid w:val="00371AFD"/>
    <w:rsid w:val="00373F80"/>
    <w:rsid w:val="00375408"/>
    <w:rsid w:val="00375B4E"/>
    <w:rsid w:val="00384FD8"/>
    <w:rsid w:val="003A5369"/>
    <w:rsid w:val="003B64E3"/>
    <w:rsid w:val="003F5F71"/>
    <w:rsid w:val="003F78FB"/>
    <w:rsid w:val="004139D0"/>
    <w:rsid w:val="00425E16"/>
    <w:rsid w:val="00445282"/>
    <w:rsid w:val="00457A94"/>
    <w:rsid w:val="004729B9"/>
    <w:rsid w:val="004914AF"/>
    <w:rsid w:val="004A51ED"/>
    <w:rsid w:val="004A6F79"/>
    <w:rsid w:val="004D1EF5"/>
    <w:rsid w:val="004F2344"/>
    <w:rsid w:val="004F77B2"/>
    <w:rsid w:val="00507754"/>
    <w:rsid w:val="00514CB4"/>
    <w:rsid w:val="005155E4"/>
    <w:rsid w:val="005271AA"/>
    <w:rsid w:val="005364D6"/>
    <w:rsid w:val="0054502E"/>
    <w:rsid w:val="00563120"/>
    <w:rsid w:val="005750FF"/>
    <w:rsid w:val="0058471B"/>
    <w:rsid w:val="005860B4"/>
    <w:rsid w:val="00590947"/>
    <w:rsid w:val="005A3CD8"/>
    <w:rsid w:val="005D1696"/>
    <w:rsid w:val="005E3716"/>
    <w:rsid w:val="005F2135"/>
    <w:rsid w:val="005F258E"/>
    <w:rsid w:val="006150A1"/>
    <w:rsid w:val="00631649"/>
    <w:rsid w:val="00652508"/>
    <w:rsid w:val="00652C55"/>
    <w:rsid w:val="00662FB2"/>
    <w:rsid w:val="00672CD8"/>
    <w:rsid w:val="0067654F"/>
    <w:rsid w:val="0067752C"/>
    <w:rsid w:val="006A1E63"/>
    <w:rsid w:val="006B383B"/>
    <w:rsid w:val="006C3F9C"/>
    <w:rsid w:val="006E0A89"/>
    <w:rsid w:val="006E3AF1"/>
    <w:rsid w:val="006E7E95"/>
    <w:rsid w:val="006F3A59"/>
    <w:rsid w:val="00701CA7"/>
    <w:rsid w:val="007030AE"/>
    <w:rsid w:val="007225D8"/>
    <w:rsid w:val="007448A9"/>
    <w:rsid w:val="00781063"/>
    <w:rsid w:val="0079078E"/>
    <w:rsid w:val="007A65D8"/>
    <w:rsid w:val="007D2D8A"/>
    <w:rsid w:val="007E4EBA"/>
    <w:rsid w:val="007F0C5F"/>
    <w:rsid w:val="007F188B"/>
    <w:rsid w:val="007F5CD5"/>
    <w:rsid w:val="00800108"/>
    <w:rsid w:val="0080732F"/>
    <w:rsid w:val="00815466"/>
    <w:rsid w:val="00820A50"/>
    <w:rsid w:val="0083760C"/>
    <w:rsid w:val="0085509B"/>
    <w:rsid w:val="0086035A"/>
    <w:rsid w:val="008644EB"/>
    <w:rsid w:val="00883B18"/>
    <w:rsid w:val="008A5F45"/>
    <w:rsid w:val="008C1FA0"/>
    <w:rsid w:val="008E2374"/>
    <w:rsid w:val="008F405C"/>
    <w:rsid w:val="0090220B"/>
    <w:rsid w:val="009078E8"/>
    <w:rsid w:val="009148AE"/>
    <w:rsid w:val="00915111"/>
    <w:rsid w:val="009244E0"/>
    <w:rsid w:val="00956DED"/>
    <w:rsid w:val="00965EA1"/>
    <w:rsid w:val="00970D09"/>
    <w:rsid w:val="00975AA1"/>
    <w:rsid w:val="00984A83"/>
    <w:rsid w:val="00990F97"/>
    <w:rsid w:val="009B594C"/>
    <w:rsid w:val="009B7107"/>
    <w:rsid w:val="009B75F9"/>
    <w:rsid w:val="009D325F"/>
    <w:rsid w:val="00A072CA"/>
    <w:rsid w:val="00A15559"/>
    <w:rsid w:val="00A15B76"/>
    <w:rsid w:val="00A20D93"/>
    <w:rsid w:val="00A431F5"/>
    <w:rsid w:val="00A43D68"/>
    <w:rsid w:val="00A60D44"/>
    <w:rsid w:val="00A637C4"/>
    <w:rsid w:val="00A63FB2"/>
    <w:rsid w:val="00A75D71"/>
    <w:rsid w:val="00A8393F"/>
    <w:rsid w:val="00AB4479"/>
    <w:rsid w:val="00AC42F1"/>
    <w:rsid w:val="00AE1EAF"/>
    <w:rsid w:val="00AE5D58"/>
    <w:rsid w:val="00B16F3D"/>
    <w:rsid w:val="00B2762B"/>
    <w:rsid w:val="00B411C2"/>
    <w:rsid w:val="00B520D0"/>
    <w:rsid w:val="00B60A3F"/>
    <w:rsid w:val="00B728D0"/>
    <w:rsid w:val="00B76976"/>
    <w:rsid w:val="00B85221"/>
    <w:rsid w:val="00B9697A"/>
    <w:rsid w:val="00C32002"/>
    <w:rsid w:val="00C36E09"/>
    <w:rsid w:val="00C40107"/>
    <w:rsid w:val="00C40275"/>
    <w:rsid w:val="00C612DD"/>
    <w:rsid w:val="00C87713"/>
    <w:rsid w:val="00C94FDC"/>
    <w:rsid w:val="00CA4AD1"/>
    <w:rsid w:val="00CA5F77"/>
    <w:rsid w:val="00CB2894"/>
    <w:rsid w:val="00CB6678"/>
    <w:rsid w:val="00CE4115"/>
    <w:rsid w:val="00CF05D5"/>
    <w:rsid w:val="00D14891"/>
    <w:rsid w:val="00D52FC4"/>
    <w:rsid w:val="00D92C22"/>
    <w:rsid w:val="00DA204B"/>
    <w:rsid w:val="00DA4586"/>
    <w:rsid w:val="00DB5B16"/>
    <w:rsid w:val="00DB74B0"/>
    <w:rsid w:val="00DC4D16"/>
    <w:rsid w:val="00DC56B0"/>
    <w:rsid w:val="00DD5F2D"/>
    <w:rsid w:val="00DE6506"/>
    <w:rsid w:val="00DF0A55"/>
    <w:rsid w:val="00DF6097"/>
    <w:rsid w:val="00E04171"/>
    <w:rsid w:val="00E05740"/>
    <w:rsid w:val="00E1191C"/>
    <w:rsid w:val="00E20A3C"/>
    <w:rsid w:val="00E21C4D"/>
    <w:rsid w:val="00E24D86"/>
    <w:rsid w:val="00E45CDC"/>
    <w:rsid w:val="00E533CD"/>
    <w:rsid w:val="00E615F8"/>
    <w:rsid w:val="00E63FFE"/>
    <w:rsid w:val="00E83202"/>
    <w:rsid w:val="00E83593"/>
    <w:rsid w:val="00E83B86"/>
    <w:rsid w:val="00E85C18"/>
    <w:rsid w:val="00E86B4B"/>
    <w:rsid w:val="00E9617B"/>
    <w:rsid w:val="00EB427F"/>
    <w:rsid w:val="00EB5447"/>
    <w:rsid w:val="00EE1190"/>
    <w:rsid w:val="00F250BB"/>
    <w:rsid w:val="00F254C8"/>
    <w:rsid w:val="00F43D65"/>
    <w:rsid w:val="00F50452"/>
    <w:rsid w:val="00F509EF"/>
    <w:rsid w:val="00F51738"/>
    <w:rsid w:val="00F71AEB"/>
    <w:rsid w:val="00F83821"/>
    <w:rsid w:val="00F958C7"/>
    <w:rsid w:val="00F96AE1"/>
    <w:rsid w:val="00FA176E"/>
    <w:rsid w:val="00FB1B6E"/>
    <w:rsid w:val="00FC31CF"/>
    <w:rsid w:val="00FC5E82"/>
    <w:rsid w:val="00FE3940"/>
    <w:rsid w:val="00FF2146"/>
    <w:rsid w:val="07BC5319"/>
    <w:rsid w:val="1CB44CBE"/>
    <w:rsid w:val="33024EE7"/>
    <w:rsid w:val="73AF7EC7"/>
    <w:rsid w:val="791B329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C70FEBE-8A9B-4891-BF7C-23E36F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FB2"/>
    <w:pPr>
      <w:spacing w:before="120" w:after="120" w:line="360" w:lineRule="auto"/>
      <w:ind w:firstLine="709"/>
      <w:jc w:val="both"/>
    </w:pPr>
    <w:rPr>
      <w:rFonts w:ascii="Arial" w:hAnsi="Arial"/>
      <w:sz w:val="22"/>
      <w:szCs w:val="22"/>
      <w:lang w:eastAsia="en-US"/>
    </w:rPr>
  </w:style>
  <w:style w:type="paragraph" w:styleId="Ttulo1">
    <w:name w:val="heading 1"/>
    <w:basedOn w:val="Normal"/>
    <w:next w:val="Normal"/>
    <w:link w:val="Ttulo1Char"/>
    <w:autoRedefine/>
    <w:uiPriority w:val="9"/>
    <w:qFormat/>
    <w:rsid w:val="00662FB2"/>
    <w:pPr>
      <w:keepNext/>
      <w:keepLines/>
      <w:numPr>
        <w:numId w:val="3"/>
      </w:numPr>
      <w:spacing w:before="240" w:after="0"/>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E1191C"/>
    <w:pPr>
      <w:keepNext/>
      <w:keepLines/>
      <w:numPr>
        <w:ilvl w:val="1"/>
        <w:numId w:val="3"/>
      </w:numPr>
      <w:spacing w:before="40" w:after="0"/>
      <w:ind w:left="578" w:hanging="578"/>
      <w:outlineLvl w:val="1"/>
    </w:pPr>
    <w:rPr>
      <w:rFonts w:eastAsiaTheme="majorEastAsia" w:cstheme="majorBidi"/>
      <w:b/>
      <w:szCs w:val="26"/>
    </w:rPr>
  </w:style>
  <w:style w:type="paragraph" w:styleId="Ttulo3">
    <w:name w:val="heading 3"/>
    <w:basedOn w:val="Normal"/>
    <w:next w:val="Normal"/>
    <w:link w:val="Ttulo3Char"/>
    <w:autoRedefine/>
    <w:uiPriority w:val="9"/>
    <w:unhideWhenUsed/>
    <w:qFormat/>
    <w:rsid w:val="009148AE"/>
    <w:pPr>
      <w:keepNext/>
      <w:keepLines/>
      <w:numPr>
        <w:ilvl w:val="2"/>
        <w:numId w:val="3"/>
      </w:numPr>
      <w:spacing w:before="40" w:after="0"/>
      <w:outlineLvl w:val="2"/>
    </w:pPr>
    <w:rPr>
      <w:rFonts w:eastAsiaTheme="majorEastAsia" w:cstheme="majorBidi"/>
      <w:szCs w:val="24"/>
    </w:rPr>
  </w:style>
  <w:style w:type="paragraph" w:styleId="Ttulo4">
    <w:name w:val="heading 4"/>
    <w:basedOn w:val="Normal"/>
    <w:next w:val="Normal"/>
    <w:link w:val="Ttulo4Char"/>
    <w:uiPriority w:val="9"/>
    <w:semiHidden/>
    <w:unhideWhenUsed/>
    <w:qFormat/>
    <w:rsid w:val="00662FB2"/>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62FB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62FB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62FB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62F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62F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paragraph" w:styleId="Pr-formataoHTML">
    <w:name w:val="HTML Preformatted"/>
    <w:basedOn w:val="Normal"/>
    <w:link w:val="Pr-formatao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styleId="Cabealho">
    <w:name w:val="header"/>
    <w:basedOn w:val="Normal"/>
    <w:link w:val="CabealhoChar"/>
    <w:autoRedefine/>
    <w:uiPriority w:val="99"/>
    <w:unhideWhenUsed/>
    <w:qFormat/>
    <w:rsid w:val="00662FB2"/>
    <w:pPr>
      <w:tabs>
        <w:tab w:val="center" w:pos="4252"/>
        <w:tab w:val="right" w:pos="8504"/>
      </w:tabs>
      <w:spacing w:after="0" w:line="240" w:lineRule="auto"/>
      <w:ind w:firstLine="0"/>
      <w:jc w:val="center"/>
    </w:pPr>
    <w:rPr>
      <w:b/>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table" w:styleId="Tabelacomgrade">
    <w:name w:val="Table Grid"/>
    <w:basedOn w:val="Tabe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qFormat/>
    <w:rsid w:val="00662FB2"/>
    <w:rPr>
      <w:rFonts w:ascii="Arial" w:hAnsi="Arial"/>
      <w:b/>
      <w:sz w:val="22"/>
      <w:szCs w:val="22"/>
      <w:lang w:eastAsia="en-US"/>
    </w:rPr>
  </w:style>
  <w:style w:type="character" w:customStyle="1" w:styleId="RodapChar">
    <w:name w:val="Rodapé Char"/>
    <w:basedOn w:val="Fontepargpadro"/>
    <w:link w:val="Rodap"/>
    <w:uiPriority w:val="99"/>
    <w:qFormat/>
  </w:style>
  <w:style w:type="paragraph" w:styleId="PargrafodaLista">
    <w:name w:val="List Paragraph"/>
    <w:basedOn w:val="Normal"/>
    <w:autoRedefine/>
    <w:uiPriority w:val="34"/>
    <w:qFormat/>
    <w:rsid w:val="00D92C22"/>
    <w:pPr>
      <w:numPr>
        <w:numId w:val="16"/>
      </w:numPr>
    </w:pPr>
  </w:style>
  <w:style w:type="character" w:customStyle="1" w:styleId="apple-converted-space">
    <w:name w:val="apple-converted-space"/>
    <w:basedOn w:val="Fontepargpadro"/>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Pr-formataoHTMLChar">
    <w:name w:val="Pré-formatação HTML Char"/>
    <w:basedOn w:val="Fontepargpadro"/>
    <w:link w:val="Pr-formataoHTML"/>
    <w:uiPriority w:val="99"/>
    <w:semiHidden/>
    <w:qFormat/>
    <w:rPr>
      <w:rFonts w:ascii="Courier New" w:hAnsi="Courier New" w:cs="Courier New"/>
      <w:sz w:val="20"/>
      <w:szCs w:val="20"/>
      <w:lang w:eastAsia="pt-BR"/>
    </w:rPr>
  </w:style>
  <w:style w:type="paragraph" w:customStyle="1" w:styleId="TTULO">
    <w:name w:val="TÍTULO"/>
    <w:basedOn w:val="Normal"/>
    <w:link w:val="TTULOChar"/>
    <w:autoRedefine/>
    <w:qFormat/>
    <w:rsid w:val="00375408"/>
    <w:pPr>
      <w:ind w:firstLine="0"/>
      <w:jc w:val="center"/>
    </w:pPr>
    <w:rPr>
      <w:rFonts w:cs="Arial"/>
      <w:b/>
      <w:sz w:val="24"/>
      <w:szCs w:val="24"/>
      <w:u w:val="single"/>
    </w:rPr>
  </w:style>
  <w:style w:type="paragraph" w:customStyle="1" w:styleId="ITEM">
    <w:name w:val="ITEM"/>
    <w:basedOn w:val="Normal"/>
    <w:link w:val="ITEMChar"/>
    <w:autoRedefine/>
    <w:rsid w:val="00662FB2"/>
    <w:rPr>
      <w:rFonts w:cs="Arial"/>
      <w:szCs w:val="24"/>
    </w:rPr>
  </w:style>
  <w:style w:type="character" w:customStyle="1" w:styleId="TTULOChar">
    <w:name w:val="TÍTULO Char"/>
    <w:basedOn w:val="Fontepargpadro"/>
    <w:link w:val="TTULO"/>
    <w:rsid w:val="00375408"/>
    <w:rPr>
      <w:rFonts w:ascii="Arial" w:hAnsi="Arial" w:cs="Arial"/>
      <w:b/>
      <w:sz w:val="24"/>
      <w:szCs w:val="24"/>
      <w:u w:val="single"/>
      <w:lang w:eastAsia="en-US"/>
    </w:rPr>
  </w:style>
  <w:style w:type="character" w:customStyle="1" w:styleId="Ttulo1Char">
    <w:name w:val="Título 1 Char"/>
    <w:basedOn w:val="Fontepargpadro"/>
    <w:link w:val="Ttulo1"/>
    <w:uiPriority w:val="9"/>
    <w:rsid w:val="00662FB2"/>
    <w:rPr>
      <w:rFonts w:ascii="Arial" w:eastAsiaTheme="majorEastAsia" w:hAnsi="Arial" w:cstheme="majorBidi"/>
      <w:b/>
      <w:caps/>
      <w:sz w:val="22"/>
      <w:szCs w:val="32"/>
      <w:lang w:eastAsia="en-US"/>
    </w:rPr>
  </w:style>
  <w:style w:type="character" w:customStyle="1" w:styleId="ITEMChar">
    <w:name w:val="ITEM Char"/>
    <w:basedOn w:val="Fontepargpadro"/>
    <w:link w:val="ITEM"/>
    <w:rsid w:val="00662FB2"/>
    <w:rPr>
      <w:rFonts w:ascii="Arial" w:hAnsi="Arial" w:cs="Arial"/>
      <w:sz w:val="22"/>
      <w:szCs w:val="24"/>
      <w:lang w:eastAsia="en-US"/>
    </w:rPr>
  </w:style>
  <w:style w:type="character" w:customStyle="1" w:styleId="Ttulo2Char">
    <w:name w:val="Título 2 Char"/>
    <w:basedOn w:val="Fontepargpadro"/>
    <w:link w:val="Ttulo2"/>
    <w:uiPriority w:val="9"/>
    <w:rsid w:val="00E1191C"/>
    <w:rPr>
      <w:rFonts w:ascii="Arial" w:eastAsiaTheme="majorEastAsia" w:hAnsi="Arial" w:cstheme="majorBidi"/>
      <w:b/>
      <w:sz w:val="22"/>
      <w:szCs w:val="26"/>
      <w:lang w:eastAsia="en-US"/>
    </w:rPr>
  </w:style>
  <w:style w:type="character" w:customStyle="1" w:styleId="Ttulo3Char">
    <w:name w:val="Título 3 Char"/>
    <w:basedOn w:val="Fontepargpadro"/>
    <w:link w:val="Ttulo3"/>
    <w:uiPriority w:val="9"/>
    <w:rsid w:val="009148AE"/>
    <w:rPr>
      <w:rFonts w:ascii="Arial" w:eastAsiaTheme="majorEastAsia" w:hAnsi="Arial" w:cstheme="majorBidi"/>
      <w:sz w:val="22"/>
      <w:szCs w:val="24"/>
      <w:lang w:eastAsia="en-US"/>
    </w:rPr>
  </w:style>
  <w:style w:type="character" w:customStyle="1" w:styleId="Ttulo4Char">
    <w:name w:val="Título 4 Char"/>
    <w:basedOn w:val="Fontepargpadro"/>
    <w:link w:val="Ttulo4"/>
    <w:uiPriority w:val="9"/>
    <w:semiHidden/>
    <w:rsid w:val="00662FB2"/>
    <w:rPr>
      <w:rFonts w:asciiTheme="majorHAnsi" w:eastAsiaTheme="majorEastAsia" w:hAnsiTheme="majorHAnsi" w:cstheme="majorBidi"/>
      <w:i/>
      <w:iCs/>
      <w:color w:val="2E74B5" w:themeColor="accent1" w:themeShade="BF"/>
      <w:sz w:val="22"/>
      <w:szCs w:val="22"/>
      <w:lang w:eastAsia="en-US"/>
    </w:rPr>
  </w:style>
  <w:style w:type="character" w:customStyle="1" w:styleId="Ttulo5Char">
    <w:name w:val="Título 5 Char"/>
    <w:basedOn w:val="Fontepargpadro"/>
    <w:link w:val="Ttulo5"/>
    <w:uiPriority w:val="9"/>
    <w:semiHidden/>
    <w:rsid w:val="00662FB2"/>
    <w:rPr>
      <w:rFonts w:asciiTheme="majorHAnsi" w:eastAsiaTheme="majorEastAsia" w:hAnsiTheme="majorHAnsi" w:cstheme="majorBidi"/>
      <w:color w:val="2E74B5" w:themeColor="accent1" w:themeShade="BF"/>
      <w:sz w:val="22"/>
      <w:szCs w:val="22"/>
      <w:lang w:eastAsia="en-US"/>
    </w:rPr>
  </w:style>
  <w:style w:type="character" w:customStyle="1" w:styleId="Ttulo6Char">
    <w:name w:val="Título 6 Char"/>
    <w:basedOn w:val="Fontepargpadro"/>
    <w:link w:val="Ttulo6"/>
    <w:uiPriority w:val="9"/>
    <w:semiHidden/>
    <w:rsid w:val="00662FB2"/>
    <w:rPr>
      <w:rFonts w:asciiTheme="majorHAnsi" w:eastAsiaTheme="majorEastAsia" w:hAnsiTheme="majorHAnsi" w:cstheme="majorBidi"/>
      <w:color w:val="1F4D78" w:themeColor="accent1" w:themeShade="7F"/>
      <w:sz w:val="22"/>
      <w:szCs w:val="22"/>
      <w:lang w:eastAsia="en-US"/>
    </w:rPr>
  </w:style>
  <w:style w:type="character" w:customStyle="1" w:styleId="Ttulo7Char">
    <w:name w:val="Título 7 Char"/>
    <w:basedOn w:val="Fontepargpadro"/>
    <w:link w:val="Ttulo7"/>
    <w:uiPriority w:val="9"/>
    <w:semiHidden/>
    <w:rsid w:val="00662FB2"/>
    <w:rPr>
      <w:rFonts w:asciiTheme="majorHAnsi" w:eastAsiaTheme="majorEastAsia" w:hAnsiTheme="majorHAnsi" w:cstheme="majorBidi"/>
      <w:i/>
      <w:iCs/>
      <w:color w:val="1F4D78" w:themeColor="accent1" w:themeShade="7F"/>
      <w:sz w:val="22"/>
      <w:szCs w:val="22"/>
      <w:lang w:eastAsia="en-US"/>
    </w:rPr>
  </w:style>
  <w:style w:type="character" w:customStyle="1" w:styleId="Ttulo8Char">
    <w:name w:val="Título 8 Char"/>
    <w:basedOn w:val="Fontepargpadro"/>
    <w:link w:val="Ttulo8"/>
    <w:uiPriority w:val="9"/>
    <w:semiHidden/>
    <w:rsid w:val="00662FB2"/>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Fontepargpadro"/>
    <w:link w:val="Ttulo9"/>
    <w:uiPriority w:val="9"/>
    <w:semiHidden/>
    <w:rsid w:val="00662FB2"/>
    <w:rPr>
      <w:rFonts w:asciiTheme="majorHAnsi" w:eastAsiaTheme="majorEastAsia" w:hAnsiTheme="majorHAnsi" w:cstheme="majorBidi"/>
      <w:i/>
      <w:iCs/>
      <w:color w:val="272727" w:themeColor="text1" w:themeTint="D8"/>
      <w:sz w:val="21"/>
      <w:szCs w:val="21"/>
      <w:lang w:eastAsia="en-US"/>
    </w:rPr>
  </w:style>
  <w:style w:type="paragraph" w:customStyle="1" w:styleId="PARTEFINAL">
    <w:name w:val="PARTE FINAL"/>
    <w:basedOn w:val="Normal"/>
    <w:link w:val="PARTEFINALChar"/>
    <w:autoRedefine/>
    <w:qFormat/>
    <w:rsid w:val="00A75D71"/>
    <w:pPr>
      <w:ind w:firstLine="0"/>
    </w:pPr>
    <w:rPr>
      <w:b/>
    </w:rPr>
  </w:style>
  <w:style w:type="character" w:customStyle="1" w:styleId="PARTEFINALChar">
    <w:name w:val="PARTE FINAL Char"/>
    <w:basedOn w:val="Fontepargpadro"/>
    <w:link w:val="PARTEFINAL"/>
    <w:rsid w:val="00A75D71"/>
    <w:rPr>
      <w:rFonts w:ascii="Arial" w:hAnsi="Arial"/>
      <w:b/>
      <w:sz w:val="22"/>
      <w:szCs w:val="22"/>
      <w:lang w:eastAsia="en-US"/>
    </w:rPr>
  </w:style>
  <w:style w:type="paragraph" w:customStyle="1" w:styleId="TEXTONORMAL">
    <w:name w:val="TEXTO_NORMAL"/>
    <w:basedOn w:val="Normal"/>
    <w:link w:val="TEXTONORMALChar"/>
    <w:autoRedefine/>
    <w:qFormat/>
    <w:rsid w:val="00E1191C"/>
    <w:pPr>
      <w:ind w:left="284" w:firstLine="567"/>
    </w:pPr>
    <w:rPr>
      <w:sz w:val="20"/>
      <w:lang w:eastAsia="pt-BR"/>
    </w:rPr>
  </w:style>
  <w:style w:type="character" w:customStyle="1" w:styleId="TEXTONORMALChar">
    <w:name w:val="TEXTO_NORMAL Char"/>
    <w:basedOn w:val="Fontepargpadro"/>
    <w:link w:val="TEXTONORMAL"/>
    <w:rsid w:val="00E1191C"/>
    <w:rPr>
      <w:rFonts w:ascii="Arial" w:hAnsi="Arial"/>
      <w:szCs w:val="22"/>
    </w:rPr>
  </w:style>
  <w:style w:type="paragraph" w:customStyle="1" w:styleId="assinatura">
    <w:name w:val="assinatura"/>
    <w:basedOn w:val="Normal"/>
    <w:link w:val="assinaturaChar"/>
    <w:autoRedefine/>
    <w:qFormat/>
    <w:rsid w:val="005F2135"/>
    <w:pPr>
      <w:spacing w:before="0" w:after="0" w:line="240" w:lineRule="auto"/>
      <w:ind w:firstLine="0"/>
      <w:jc w:val="center"/>
    </w:pPr>
    <w:rPr>
      <w:sz w:val="18"/>
    </w:rPr>
  </w:style>
  <w:style w:type="character" w:customStyle="1" w:styleId="assinaturaChar">
    <w:name w:val="assinatura Char"/>
    <w:basedOn w:val="Fontepargpadro"/>
    <w:link w:val="assinatura"/>
    <w:rsid w:val="005F2135"/>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6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E721-882A-4E8F-A5A2-34F94109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9</Pages>
  <Words>2506</Words>
  <Characters>13538</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pablo</cp:lastModifiedBy>
  <cp:revision>75</cp:revision>
  <cp:lastPrinted>2023-10-26T16:44:00Z</cp:lastPrinted>
  <dcterms:created xsi:type="dcterms:W3CDTF">2023-10-26T16:42:00Z</dcterms:created>
  <dcterms:modified xsi:type="dcterms:W3CDTF">2024-04-08T13:07:00Z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70B36223318C4857A8E153D1E82C7395</vt:lpwstr>
  </property>
</Properties>
</file>